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FEE7" w14:textId="77777777" w:rsidR="00F16568" w:rsidRPr="00F16568" w:rsidRDefault="00F16568" w:rsidP="00F16568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4A70"/>
          <w:kern w:val="36"/>
          <w:sz w:val="39"/>
          <w:szCs w:val="39"/>
          <w:lang w:eastAsia="ru-RU"/>
        </w:rPr>
      </w:pPr>
      <w:r w:rsidRPr="00F16568">
        <w:rPr>
          <w:rFonts w:ascii="Arial" w:eastAsia="Times New Roman" w:hAnsi="Arial" w:cs="Arial"/>
          <w:b/>
          <w:bCs/>
          <w:color w:val="294A70"/>
          <w:kern w:val="36"/>
          <w:sz w:val="39"/>
          <w:szCs w:val="39"/>
          <w:lang w:eastAsia="ru-RU"/>
        </w:rPr>
        <w:t>Современные тенденции инклюзивного и специального образования</w:t>
      </w:r>
    </w:p>
    <w:p w14:paraId="422EC70C" w14:textId="77777777" w:rsidR="00F16568" w:rsidRPr="00F16568" w:rsidRDefault="00F16568" w:rsidP="00F165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Pr="00F16568">
          <w:rPr>
            <w:rFonts w:ascii="inherit" w:eastAsia="Times New Roman" w:hAnsi="inherit" w:cs="Arial"/>
            <w:b/>
            <w:bCs/>
            <w:color w:val="333333"/>
            <w:sz w:val="27"/>
            <w:szCs w:val="27"/>
            <w:u w:val="single"/>
            <w:bdr w:val="none" w:sz="0" w:space="0" w:color="auto" w:frame="1"/>
            <w:lang w:eastAsia="ru-RU"/>
          </w:rPr>
          <w:t>Репринцева Галина Анатольевна</w:t>
        </w:r>
      </w:hyperlink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канд.психол.наук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доцент кафедры психологии и дефектологии, Белгородский институт развития образования, РФ, г. Белгород, reprinceva_ga@beliro.ru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5" w:history="1">
        <w:r w:rsidRPr="00F16568">
          <w:rPr>
            <w:rFonts w:ascii="inherit" w:eastAsia="Times New Roman" w:hAnsi="inherit" w:cs="Arial"/>
            <w:b/>
            <w:bCs/>
            <w:color w:val="333333"/>
            <w:sz w:val="27"/>
            <w:szCs w:val="27"/>
            <w:u w:val="single"/>
            <w:bdr w:val="none" w:sz="0" w:space="0" w:color="auto" w:frame="1"/>
            <w:lang w:eastAsia="ru-RU"/>
          </w:rPr>
          <w:t>Политова Раиса Ивановна</w:t>
        </w:r>
      </w:hyperlink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старший методист кафедры психологии и дефектологии, Белгородский институт развития образования, РФ, г. Белгород, politova_ri@beliro.ru</w:t>
      </w:r>
    </w:p>
    <w:p w14:paraId="1796FD1D" w14:textId="77777777" w:rsidR="00F16568" w:rsidRPr="00F16568" w:rsidRDefault="00F16568" w:rsidP="00F165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Аннотация: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Социально-экономические изменения влияют на систему образования детей с ограниченными возможностями здоровья. Тенденции глобализации и гуманизации накладываются на традиции государственных систем образования и региональные особенности, однако можно выделить общие тренды – изменения в ценностях-целях и ценностях-средствах. Проблемные зоны и направления совершенствования отечественного образования отражены в проекте Стратегии развития образования детей с ограниченными возможностями здоровья. Готовность к командному взаимодействию авторы рассматривают как одну из важнейших составляющих профессиональной позиции педагога в современных условиях. Сотрудничество с семьей (начиная с системы ранней помощи), использование возможностей специального образования – важные направления в совершенствовании инклюзивного образования детей с ограниченными возможностями здоровья.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16568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Ключевые слова: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образование детей с ограниченными возможностями здоровья, инклюзивное образование, специальное образование, стратегия развития образования, современные тренды.</w:t>
      </w:r>
    </w:p>
    <w:p w14:paraId="16790EA4" w14:textId="77777777" w:rsidR="00F16568" w:rsidRPr="00F16568" w:rsidRDefault="00F16568" w:rsidP="00F1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6568">
        <w:rPr>
          <w:rFonts w:ascii="Arial" w:eastAsia="Times New Roman" w:hAnsi="Arial" w:cs="Arial"/>
          <w:color w:val="294A70"/>
          <w:sz w:val="39"/>
          <w:szCs w:val="39"/>
          <w:bdr w:val="none" w:sz="0" w:space="0" w:color="auto" w:frame="1"/>
          <w:shd w:val="clear" w:color="auto" w:fill="FFFFFF"/>
          <w:lang w:val="en-US" w:eastAsia="ru-RU"/>
        </w:rPr>
        <w:t>Current trends of inclusive and special education</w:t>
      </w:r>
    </w:p>
    <w:p w14:paraId="3D335988" w14:textId="77777777" w:rsidR="00F16568" w:rsidRPr="00F16568" w:rsidRDefault="00F16568" w:rsidP="00F165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proofErr w:type="spellStart"/>
      <w:r w:rsidRPr="00F1656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val="en-US" w:eastAsia="ru-RU"/>
        </w:rPr>
        <w:t>Reprintseva</w:t>
      </w:r>
      <w:proofErr w:type="spellEnd"/>
      <w:r w:rsidRPr="00F1656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Galina </w:t>
      </w:r>
      <w:proofErr w:type="spellStart"/>
      <w:r w:rsidRPr="00F1656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val="en-US" w:eastAsia="ru-RU"/>
        </w:rPr>
        <w:t>Anatolyevna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 xml:space="preserve">Ph. D. of Sciences in Psychology, associate professor of Psychology and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Defectology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Department, Belgorod Institute of Education Development, Russia, Belgorod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proofErr w:type="spellStart"/>
      <w:r w:rsidRPr="00F1656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val="en-US" w:eastAsia="ru-RU"/>
        </w:rPr>
        <w:t>Politova</w:t>
      </w:r>
      <w:proofErr w:type="spellEnd"/>
      <w:r w:rsidRPr="00F16568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Raisa Ivanovna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 xml:space="preserve">Senior Methodist of Psychology and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Defectology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Department, Belgorod Institute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o f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Education Development, Russia, Belgorod</w:t>
      </w:r>
    </w:p>
    <w:p w14:paraId="75FE99D5" w14:textId="77777777" w:rsidR="00F16568" w:rsidRPr="00F16568" w:rsidRDefault="00F16568" w:rsidP="00F165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F16568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Abstract: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 The ongoing socio-economical changes affect the education system of children with disabilities. Globalization and humanization tendencies interfere with regional traits and government systems’ education traditions. However common trends can be highlighted: changes in values-goals and values-means. Problematic areas and directions of national education development are shown in the project ‘Strategy for the development of education for children with </w:t>
      </w:r>
      <w:proofErr w:type="gramStart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disabilities’</w:t>
      </w:r>
      <w:proofErr w:type="gramEnd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. The authors consider readiness for team interaction as one of the most important components of a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pedagog’s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professional position in the modern conditions. Family cooperation (starting with early assistance system), usage of the special education possibilities </w:t>
      </w:r>
      <w:proofErr w:type="gramStart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are</w:t>
      </w:r>
      <w:proofErr w:type="gramEnd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important direction in the inclusive education development of children with disabilities.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F16568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Keywords: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education of children with disabilities, inclusive education, special education, education development strategy, current trends</w:t>
      </w:r>
    </w:p>
    <w:p w14:paraId="43608201" w14:textId="77777777" w:rsidR="00F16568" w:rsidRPr="00F16568" w:rsidRDefault="00F16568" w:rsidP="00F1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Правильная ссылка на статью</w:t>
      </w:r>
    </w:p>
    <w:p w14:paraId="02F21E88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условиях бурного развития общества в системе образования тоже происходят изменения. Тенденции развития образования носят системный характер и проявляются на разных уровнях. Глобальные тренды накладываются на национальную специфику и региональные особенности [1, 2, 5, 8, 12].</w:t>
      </w:r>
    </w:p>
    <w:p w14:paraId="1D89EE26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Гуманизацию образования можно рассматривать как ведущее направление развития, получившее в XXI веке «новое звучание». Инчхонская декларация, принятая ЮНЕСКО в 2015 году, и стратегические программы по вопросам образования и обучения Европейского союза (ЕТ2020) проводят идею равных прав на качественное образование вне зависимости от социального происхождения, финансовых возможностей семей, способностей детей и их образовательных потребностей, включая особые образовательные потребности, «чтобы каждый человек был способен приобретать знания, навыки, ценности и подходы, расширяющие 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его права и возможности для полноценной жизни в обществе и реализации себя в профессиональной деятельности» [2, C. 32].</w:t>
      </w:r>
    </w:p>
    <w:p w14:paraId="4F81D7C3" w14:textId="6B6EBB4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 об образовании в Российской федерации (Статья 2, пункт 27) определяет инклюзивное образование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 [7]. Реализация идеи об общедоступности качественного образования требует технологической проработки вопроса. «Декларация безграничных прав, не подкрепленная возможностями государства и согласием общества, влечёт за собой опасность подмены реальной инклюзии формальным перемещением ребёнка в массовую школу, что не только не улучшает, но и ухудшает его положение. Качественная инклюзия предполагает организацию в общеобразовательной школе оптимальных условий для каждого ученика с особыми образовательными потребностями. Как правило, необходимы два квалифицированных педагога: обычный и специальный для оказания дополнительной, индивидуальной помощи. Учебное место в большинстве случаев требует дооснащения специальными техническими средствами и аппаратурой. Для решения бытовых проблем «включённых» учеников нужны специальные технические приспособления и обученный персонал (тьюторы). Перемещение ребёнка из специальной школы, имеющей всё необходимое оборудование, а главное – штат квалифицированных специалистов, в неприспособленную общеобразовательную школу не имеет ничего общего с интегративным подходом к организации образования, соответствующего возможностям и особым потребностям ребёнка. Формальная инклюзия становится скрытой формой дискриминации. Если ребёнку с особыми образовательными потребностями предоставляется доступ к общей образовательной системе, но не создаются условия для обеспечения соответствующего его особым потребностям обучения, его право на качественное образование нарушается» [5]. Мировая инклюзивная практика показала, что «присутствие детей с тяжелыми и множественными нарушениями в развитии в инклюзивных классах, группах не идет на пользу ни им, ни обычным учащимся. Доступность реализуется в ущерб качеству. Массовая система образования неизбежно имеет и будет иметь определенные границы и рамки для инклюзивных процессов» [6, С. 57]. Опросы педагогов неизменно показывают, что проблема в большей степени состоит не в том, что учителя «не принимают ребенка с нарушениями», а в том, что они не знают, как с ним работать, когда специальные условия для обучающихся с особыми образовательными потребностями не созданы, а только поставлена задача «включить ребенка в образовательный процесс» [10, 13]. С проблемой стихийной интеграции обучающихся с ограниченными возможностями здоровья в образовательный процесс сталкиваются в различных регионах нашей страны и за рубежом [1, 5 и др.] Как справедливо указывает Н.М. Назарова, «наилучшим решением для отечественного образования видится сегодня постепенный переход … к «разумному прагматизму», при котором инклюзивное обучение в стране реализуется не в количественном, а в качественном варианте, на основе четкого соблюдения его фундаментальных принципов и экономических условий».</w:t>
      </w:r>
    </w:p>
    <w:p w14:paraId="433F27E9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условий для качественного образования детей с особыми образовательными потребностями предполагает создание системы поддержки семьи, воспитывающей ребенка с ОВЗ, и проектирование развивающего и развивающегося образовательного пространства, включая систему поддержки педагогических работников, сопровождающих ребенка в образовательной деятельности. В этом контексте важны направления развития системы образования, заложенные в проекте Стратегии развития образования детей с ограниченными возможностями здоровья и детей с инвалидностью в Российской Федерации на период до 2030 года [11]. «Теоретико-методологической основой проекта стратегии развития образования детей с инвалидностью и детей с ОВЗ до 2030 г., разработанного в Институте коррекционной педагогики РАО под руководством Н.Н. Малофеева коллективом сотрудников в составе О.С. Никольской, Е.Л. Гончаровой, О.И. Кукушкиной, И.А. Коробейникова, В.З. Кантора, О.А. Карабановой, стала культурно-историческая деятельностная концепция психического развития ребенка (Л.С. Выготский, А.Р. Лурия, А.Н. Леонтьев, Д.Б. Эльконин, А.В. Запорожец, П.Я. Гальперин)» [4, С. 91].</w:t>
      </w:r>
    </w:p>
    <w:p w14:paraId="68EAE7D7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Первостепенная ключевая задача отечественного и зарубежного образования – обеспечение ранней помощи семьям и ребенку с нарушениями развития или с риском нарушений развития. Это одно из приоритетных направлений в развитии государственных и региональных систем образования.</w:t>
      </w:r>
    </w:p>
    <w:p w14:paraId="16CD06EA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Следующий блок задач, направлен на преемственное сопровождение семьи и ребенка, с учетом возрастных возможностей и потребностей. Так отечественная Стратегия развития образования детей с ОВЗ и с инвалидностью на ближайшее десятилетие «задает ориентацию на формирование высших психических функций (ВПФ), специфицированных для каждой возрастной стадии, и определяет планируемые результаты воспитания и обучения детей с ОВЗ в форме возрастных психологических новообразований» и обеспечение переориентации педагогического сообщества на ресурсный подход к построению образовательной среды для детей с ОВЗ [там же]. В контексте меняющейся ситуации развития детей в современном мире происходит пересмотр классификации нозологических групп. «Предлагаемый в проекте Стратегии новый подход к созданию психолого-педагогической типологии ориентирован на учет динамики и истории развития ребенка с ОВЗ и инвалидностью — генезиса вторичных отклонений психического развития и рисков их возникновения при одном и том же дефекте с учетом возрастной стадии, особенностей социальной ситуации развития при сохранении нозологического критерия типологии» [4, С. 93].</w:t>
      </w:r>
    </w:p>
    <w:p w14:paraId="528EF062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качественного образования для детей с ОВЗ требует неформального включения семьи ребенка в образовательную деятельность и преодоления дидактоцентризма, благодаря четкому выделению задачи формирования жизненной компетентности обучающегося с ОВЗ. «Необходимо обеспечить условия для положительной и контролируемой динамики развития жизненной компетенции детей с ОВЗ, включая развитие социально-бытовых навыков, навыков общения и кооперации со сверстниками и взрослыми, умения конструктивно разрешать конфликты; для формирования позитивных эмоциональных отношений, усвоения базовых моральных норм и правил, способности полноценно участвовать в домашней жизни и в жизни социальной группы, проявлять самостоятельность и инициативу и регулировать свое поведение, следовать правилам безопасного социального поведения, в том числе в социальных сетях и в сети Интернет. Именно формирование жизненной компетенции составит базис успешной социальной адаптации и перехода к самостоятельной жизни с учетом ограничений здоровья и варианта развития» [4, С. 96].</w:t>
      </w:r>
    </w:p>
    <w:p w14:paraId="50A8D457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целом можно отметить не только сближение систем инклюзивного и специального образования, но и «инверсию», когда функции инклюзии передаются коррекционным школам. Качественное образование предусматривает соответствующие кадровые условия и непрерывное методическое сопровождение, что могут предоставить именно коррекционные школы. Система специального образования в настоящее время доказала свою необходимость и эффективность, лучшие результаты по сопровождению детей с ОВЗ демонстрируют регионы, сохранившие свои коррекционные школы и наладившие сетевое взаимодействие инклюзивных и специальных образовательных организаций. Учитывая лучший опыт работы с детьми с ОВЗ в проект Стратегии развития образования детей с ОВЗ и инвалидность в Российской Федерации включили направление по сохранению и развитию специальных (коррекционных) образовательных учреждений и «приданием им статуса ресурсных центров для инклюзивного образования; расширение их функционала (готовность к работе с обучающимися не одной, а нескольких нозологий, создание дошкольных отделений, развитие инклюзивной практики в структуре специальной (коррекционной) школы)» [11, С. 16-17].</w:t>
      </w:r>
    </w:p>
    <w:p w14:paraId="77E6E74B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 в системе образования детей с ОВЗ сопряжены с изменениями в ценностной сфере. Это касается ценностей-целей и ценностей-средств.</w:t>
      </w:r>
    </w:p>
    <w:p w14:paraId="70441258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о качестве образования и ценностях-целях стоит сейчас очень остро, т.к. инклюзивные школы часто попадают в число школ с устойчиво низкими образовательными результатами; как критерий качества образования декларируется, прежде всего, безопасная развивающая среда, а рейтинг составляется по другим параметрам (ОГЭ, ЕГЭ, процент победителей олимпиад и конкурсов и т.п.). Эта проблема обсуждалась, например, в феврале 2019 года на экспертном круглом столе «Инклюзивное образование: анализ, опыт и перспективы развития», и была включена в число задач, требующих тщательной проработки на федеральном уровне [3].</w:t>
      </w:r>
    </w:p>
    <w:p w14:paraId="7E809B99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ценностях-средствах на первый план сегодня выходят ценности командного взаимодействия [8], что составляет основу сопровождения детей с ОВЗ. Глобализация приводит к усилению контактов между государствами и регионами. Разделенный процесс труда характерен и для сопровождения детей с нарушениями в развитии, где необходимо межведомственное командное взаимодействие и сотрудничество с семьей. На федеральном уровне создаются 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ресурсные центры, которые призваны оказывать консультативно-методическую поддержку специалистов из различных территорий (перечень федеральных ресурсных центров по профилю «ОВЗ» приведен в таблице 1).</w:t>
      </w:r>
    </w:p>
    <w:p w14:paraId="26DE307F" w14:textId="77777777" w:rsidR="00F16568" w:rsidRPr="00F16568" w:rsidRDefault="00F16568" w:rsidP="00F165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Таблица 1. Федеральные ресурсные центры, специализирующиеся на вопросах сопровождения лиц с ОВЗ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667"/>
        <w:gridCol w:w="3034"/>
        <w:gridCol w:w="2557"/>
      </w:tblGrid>
      <w:tr w:rsidR="00F16568" w:rsidRPr="00F16568" w14:paraId="0C79D1CE" w14:textId="77777777" w:rsidTr="00F165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F751FA" w14:textId="77777777" w:rsidR="00F16568" w:rsidRPr="00F16568" w:rsidRDefault="00F16568" w:rsidP="00F16568">
            <w:pPr>
              <w:spacing w:before="22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10B57F" w14:textId="77777777" w:rsidR="00F16568" w:rsidRPr="00F16568" w:rsidRDefault="00F16568" w:rsidP="00F16568">
            <w:pPr>
              <w:spacing w:before="22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0F7C2B" w14:textId="77777777" w:rsidR="00F16568" w:rsidRPr="00F16568" w:rsidRDefault="00F16568" w:rsidP="00F16568">
            <w:pPr>
              <w:spacing w:before="22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1B257B" w14:textId="77777777" w:rsidR="00F16568" w:rsidRPr="00F16568" w:rsidRDefault="00F16568" w:rsidP="00F16568">
            <w:pPr>
              <w:spacing w:before="22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F16568" w:rsidRPr="00F16568" w14:paraId="0ECBCBC0" w14:textId="77777777" w:rsidTr="00F165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727173" w14:textId="77777777" w:rsidR="00F16568" w:rsidRPr="00F16568" w:rsidRDefault="00F16568" w:rsidP="00F16568">
            <w:pPr>
              <w:spacing w:before="22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7729AA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по организации комплексного сопровождения детей с РАС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860CEB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при ФГБОУ ВО «Московский государственный психолого-педагогический университет»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AA42A7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http://www.frc-blind.ru/</w:t>
            </w:r>
          </w:p>
        </w:tc>
      </w:tr>
      <w:tr w:rsidR="00F16568" w:rsidRPr="00F16568" w14:paraId="25D72084" w14:textId="77777777" w:rsidTr="00F165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543860" w14:textId="77777777" w:rsidR="00F16568" w:rsidRPr="00F16568" w:rsidRDefault="00F16568" w:rsidP="00F16568">
            <w:pPr>
              <w:spacing w:before="22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039A7C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по развитию системы комплексного сопровождения детей с интеллектуальными нарушениями, с тяжёлыми множественными нарушениями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4A5833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при ФГБОУ ВО «Псковский государственный университет» на базе ГБОУ «Центр лечебной педагогики и дифференцированного обучения»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264523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«Учебно-методический комплекс по разработке и реализации специальной индивидуальной программы развития (СИПР)»</w:t>
            </w:r>
          </w:p>
          <w:p w14:paraId="14373ACA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http://ege.pskgu.ru/</w:t>
            </w:r>
          </w:p>
        </w:tc>
      </w:tr>
      <w:tr w:rsidR="00F16568" w:rsidRPr="00F16568" w14:paraId="7D5EC471" w14:textId="77777777" w:rsidTr="00F165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072638" w14:textId="77777777" w:rsidR="00F16568" w:rsidRPr="00F16568" w:rsidRDefault="00F16568" w:rsidP="00F16568">
            <w:pPr>
              <w:spacing w:before="22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520A03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по развитию системы комплексного сопровождения детей с нарушением зрения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56DC80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при Российском государственном педагогическом университете им. А.И. Герцена на базе Государственного бюджетного общеобразовательного учреждения школы-интерната № 1 им. К.К. Грота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55D1F2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https://frc-blind.ru/</w:t>
            </w:r>
          </w:p>
          <w:p w14:paraId="4A641AA3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568" w:rsidRPr="00F16568" w14:paraId="4E4B20B3" w14:textId="77777777" w:rsidTr="00F165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A30C1A" w14:textId="77777777" w:rsidR="00F16568" w:rsidRPr="00F16568" w:rsidRDefault="00F16568" w:rsidP="00F16568">
            <w:pPr>
              <w:spacing w:before="22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140E67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ресурсный центр по развитию системы комплексного сопровождения детей с </w:t>
            </w: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нарушением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79276F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 при ФГБОУ ИВО «Московский государственный гуманитарно-экономический университет»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EAB8FF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http://frc.mggeu.ru/</w:t>
            </w:r>
          </w:p>
          <w:p w14:paraId="56C7E939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568" w:rsidRPr="00F16568" w14:paraId="5EB0A6A5" w14:textId="77777777" w:rsidTr="00F165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324992" w14:textId="77777777" w:rsidR="00F16568" w:rsidRPr="00F16568" w:rsidRDefault="00F16568" w:rsidP="00F16568">
            <w:pPr>
              <w:spacing w:before="22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3D3803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ПМПК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9A99FD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структурными подразделениями ФГБНУ «Центр защиты прав и интересов детей» Министерства просвещения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126303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https://pmpkrf.ru/</w:t>
            </w:r>
          </w:p>
          <w:p w14:paraId="606D5DB4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568" w:rsidRPr="00F16568" w14:paraId="6CF34F37" w14:textId="77777777" w:rsidTr="00F165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F5E321" w14:textId="77777777" w:rsidR="00F16568" w:rsidRPr="00F16568" w:rsidRDefault="00F16568" w:rsidP="00F16568">
            <w:pPr>
              <w:spacing w:before="22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174500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по развитию системы комплексной сопровождения детей с ОВЗ и инвалидностью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7CBEECEF" w14:textId="77777777" w:rsidR="00F16568" w:rsidRPr="00F16568" w:rsidRDefault="00F16568" w:rsidP="00F1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948828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https://ovzrf.ru/about/</w:t>
            </w:r>
          </w:p>
          <w:p w14:paraId="34383FC6" w14:textId="77777777" w:rsidR="00F16568" w:rsidRPr="00F16568" w:rsidRDefault="00F16568" w:rsidP="00F16568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D32EB57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Командное взаимодействие, сотрудничество, декомпозиция задач при системном видении образовательной ситуации – это те ресурсы, которые должны использоваться образовательными организациями; а это возможно при условии грамотной профессиональной позиции педагогов, отвечающей вызовам времени [9].</w:t>
      </w:r>
    </w:p>
    <w:p w14:paraId="357B33E9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можно констатировать, что современная отечественная система образования испытывает на себе влияние мировых тенденций гуманизации и глобализации. Обеспечение равного доступа к образованию требует реализации комплекса условий и не может быть заменено стихийной интеграцией. Школа может быть инклюзивной только при создании качественного инклюзивного пространства, что в свою очередь предполагает использование имеющихся ресурсов специального образования и внедрения эффективных моделей интеграции, научно обоснованных и апробированных. Линия сотрудничества специалистов сопровождения и родителей ребенка с ограниченными возможностями здоровья выступает в качестве «оси инклюзии», без системного согласованного взаимодействия с семьей ребенка инклюзивная образовательная среда распадается, поэтому данное направление развития системы инклюзивного и специального образования включено в проект Стратегии развития образования детей с ОВЗ и инвалидность в Российской Федерации, находит отражение в федеральных и региональных программах и проектах. В целом развитие образования детей с ограниченными возможностями здоровья – процесс длительный и сложный, необходимо учесть прошлые ошибки и предусмотреть возможные риски, реализовать в единстве специальное и инклюзивное образование.</w:t>
      </w:r>
    </w:p>
    <w:p w14:paraId="52833A2D" w14:textId="77777777" w:rsidR="00F16568" w:rsidRPr="00F16568" w:rsidRDefault="00F16568" w:rsidP="00F1656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68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AD991D1">
          <v:rect id="_x0000_i1025" style="width:0;height:.75pt" o:hralign="center" o:hrstd="t" o:hrnoshade="t" o:hr="t" fillcolor="#ccc" stroked="f"/>
        </w:pict>
      </w:r>
    </w:p>
    <w:p w14:paraId="0F5BA399" w14:textId="77777777" w:rsidR="00F16568" w:rsidRPr="00F16568" w:rsidRDefault="00F16568" w:rsidP="00F1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68">
        <w:rPr>
          <w:rFonts w:ascii="Arial" w:eastAsia="Times New Roman" w:hAnsi="Arial" w:cs="Arial"/>
          <w:color w:val="294A7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Список литературы</w:t>
      </w:r>
    </w:p>
    <w:p w14:paraId="499FD07D" w14:textId="77777777" w:rsidR="00F16568" w:rsidRPr="00F16568" w:rsidRDefault="00F16568" w:rsidP="00F16568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Алехина С.В. Инклюзивное образование: заданный и истинный курс развития // Образовательная панорама. – 2018. – № 2 (10). – С. 6-10.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Долгая О.И. Мировые тенденции в общем образовании: новая идеология образования и изменение психолого-педагогических подходов к обучению // Педагогический журнал Башкортостана. – 2019. – № 6 (85</w:t>
      </w:r>
      <w:proofErr w:type="gramStart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.</w:t>
      </w:r>
      <w:proofErr w:type="gramEnd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С. 32-38.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Итоговый пост-релиз Экспертного круглого стола «Инклюзивное образование: анализ, опыт и перспективы развития» (город Москва, 26 февраля 2019 года) [Электронный ресурс]. – Режим доступа: http://www.inclusive-edu.ru/wp-content/uploads/2019/02/post-reliz-26.02.pdf (дата обращения: 01.06.2020).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 Карабанова О.А.,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Малофеев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Н.Н. Стратегия развития образования детей с ОВЗ: по дороге к реализации культурно-исторического подхода // Культурно-историческая психология. – 2019. – Т. 15. № 4. – С. 89-99.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5.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Малофеев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Н.Н. От институционализации к инклюзивному образованию детей с особыми образовательными потребностями [Электронный ресурс] // Альманах института коррекционной 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педагогики. – 2018. № 34-3. – С. 1-12. Режим доступа: https://alldef.ru/ru/articles/almanac-34/from-institutionalization-to-inclusive-education-of-children-with-special-educational-needs (дата обращения: 01.06.2020).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 Назарова Н.М. Феноменология совместного обучения: интеграция и инклюзия. – М.: Перо. – 2018. – 240 с.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 Об образовании в Российской Федерации: федеральный закон Российской федерации от 29 декабря 2012 года № 273-</w:t>
      </w:r>
      <w:proofErr w:type="gramStart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ФЗ :</w:t>
      </w:r>
      <w:proofErr w:type="gramEnd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принят Государственной думой 21 декабря 2012 года : одобрен Советом Федерации 26 декабря 2012 года // Российская газета. – 2012. – 31 декабря.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8. Османов У.Ю.,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Феталиева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Л.П. Инклюзивное образование в контексте глобализации // Мир науки, культуры, образования. – 2018. – № 4 (71). – С.202-205.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9.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Репринцева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Г.А. Профессиональные позиции педагогов в контексте образовательных инноваций // Мир науки. Педагогика и психология. – 2019. Т. 7. № 2. – С. 57.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10.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Репринцева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Г.А., Политова Р.И. Представления педагогов об инклюзивном образовании в контексте развития образовательной практики // Вестник Белгородского института развития образования. – 2018. – № 4 (10). – С. 123-130.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11. Стратегия развития образования детей с ОВЗ и детей с инвалидностью в Российской Федерации на период до 2030 года: Проект [Электронный ресурс]. – Режим доступа: http://souz-defectology.ru/wp-content/uploads/2019/07/STRATEGIYa-RAZVITIYa-OBRAZOVANIYa-detej-s-ogranichennymi-vozmozhnostyami-zdorovya-i-detej-s-invalidnostju-v-Rossijskoj-Federaciina-period-do-2030-goda.pdf (дата обращения: 01.06.2020).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12. Abdel-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Moneim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 Between global and national prescriptions for education administration: the rocky road of neoliberal education reform in Qatar // International Journal of Educational Development. – Vol. 74. – April 2020. https://doi.org/10.1016/j.ijedudev.2020.102160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 xml:space="preserve">13.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Parey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F1656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. Understanding teachers’ attitudes towards the inclusion of children with disabilities in inclusive schools using mixed methods: The case of Trinidad // Teaching and Teacher Education.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Vol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83.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July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2019. </w:t>
      </w:r>
      <w:proofErr w:type="spellStart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Pages</w:t>
      </w:r>
      <w:proofErr w:type="spellEnd"/>
      <w:r w:rsidRPr="00F165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199-211. https://doi.org/10.1016/j.tate.2019.04.007</w:t>
      </w:r>
    </w:p>
    <w:p w14:paraId="689EFB07" w14:textId="77777777" w:rsidR="005A37C4" w:rsidRDefault="00F16568"/>
    <w:sectPr w:rsidR="005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A"/>
    <w:rsid w:val="00104D9A"/>
    <w:rsid w:val="00283B75"/>
    <w:rsid w:val="00A33B47"/>
    <w:rsid w:val="00AC40F0"/>
    <w:rsid w:val="00E178D6"/>
    <w:rsid w:val="00F1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4E69"/>
  <w15:chartTrackingRefBased/>
  <w15:docId w15:val="{369ED901-8CE8-4472-ABC6-BF3A06FC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615">
              <w:blockQuote w:val="1"/>
              <w:marLeft w:val="600"/>
              <w:marRight w:val="600"/>
              <w:marTop w:val="225"/>
              <w:marBottom w:val="225"/>
              <w:divBdr>
                <w:top w:val="none" w:sz="0" w:space="8" w:color="auto"/>
                <w:left w:val="single" w:sz="36" w:space="15" w:color="FFAB1F"/>
                <w:bottom w:val="none" w:sz="0" w:space="8" w:color="auto"/>
                <w:right w:val="none" w:sz="0" w:space="15" w:color="auto"/>
              </w:divBdr>
            </w:div>
          </w:divsChild>
        </w:div>
        <w:div w:id="1782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ipress.ru/archive-articles/?author=%D0%9F%D0%BE%D0%BB%D0%B8%D1%82%D0%BE%D0%B2%D0%B0+%D0%A0%D0%B0%D0%B8%D1%81%D0%B0+%D0%98%D0%B2%D0%B0%D0%BD%D0%BE%D0%B2%D0%BD%D0%B0" TargetMode="External"/><Relationship Id="rId4" Type="http://schemas.openxmlformats.org/officeDocument/2006/relationships/hyperlink" Target="https://scipress.ru/archive-articles/?author=%D0%A0%D0%B5%D0%BF%D1%80%D0%B8%D0%BD%D1%86%D0%B5%D0%B2%D0%B0+%D0%93%D0%B0%D0%BB%D0%B8%D0%BD%D0%B0+%D0%90%D0%BD%D0%B0%D1%82%D0%BE%D0%BB%D1%8C%D0%B5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2942</Words>
  <Characters>16773</Characters>
  <Application>Microsoft Office Word</Application>
  <DocSecurity>0</DocSecurity>
  <Lines>139</Lines>
  <Paragraphs>39</Paragraphs>
  <ScaleCrop>false</ScaleCrop>
  <Company/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3</cp:revision>
  <dcterms:created xsi:type="dcterms:W3CDTF">2022-01-17T08:38:00Z</dcterms:created>
  <dcterms:modified xsi:type="dcterms:W3CDTF">2022-01-17T08:40:00Z</dcterms:modified>
</cp:coreProperties>
</file>